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0C1C1" w14:textId="7FF87773" w:rsidR="0067168A" w:rsidRPr="008A3AF1" w:rsidRDefault="0067168A" w:rsidP="0067168A">
      <w:pPr>
        <w:pStyle w:val="Encabezado"/>
        <w:jc w:val="both"/>
        <w:rPr>
          <w:rFonts w:ascii="Arial" w:hAnsi="Arial" w:cs="Arial"/>
        </w:rPr>
      </w:pPr>
      <w:r w:rsidRPr="008A3AF1">
        <w:rPr>
          <w:rFonts w:ascii="Arial" w:hAnsi="Arial" w:cs="Arial"/>
        </w:rPr>
        <w:t>Código TRD:</w:t>
      </w:r>
      <w:r w:rsidRPr="008A3AF1">
        <w:rPr>
          <w:rFonts w:ascii="Arial" w:hAnsi="Arial" w:cs="Arial"/>
          <w:b/>
        </w:rPr>
        <w:t xml:space="preserve"> </w:t>
      </w:r>
      <w:r w:rsidRPr="008A3AF1">
        <w:rPr>
          <w:rFonts w:ascii="Arial" w:hAnsi="Arial" w:cs="Arial"/>
          <w:b/>
          <w:color w:val="ED0000"/>
        </w:rPr>
        <w:t>Código de Dependencia. Código de serie</w:t>
      </w:r>
    </w:p>
    <w:p w14:paraId="2015AC2F" w14:textId="77777777" w:rsidR="0067168A" w:rsidRPr="008A3AF1" w:rsidRDefault="0067168A" w:rsidP="0067168A">
      <w:pPr>
        <w:jc w:val="both"/>
        <w:rPr>
          <w:rFonts w:ascii="Arial" w:hAnsi="Arial" w:cs="Arial"/>
        </w:rPr>
      </w:pPr>
    </w:p>
    <w:p w14:paraId="7A7B3AD9" w14:textId="77777777" w:rsidR="0067168A" w:rsidRPr="008A3AF1" w:rsidRDefault="0067168A" w:rsidP="0067168A">
      <w:pPr>
        <w:jc w:val="both"/>
        <w:rPr>
          <w:rFonts w:ascii="Arial" w:hAnsi="Arial" w:cs="Arial"/>
        </w:rPr>
      </w:pPr>
    </w:p>
    <w:p w14:paraId="766548E9" w14:textId="77777777" w:rsidR="00C55BFC" w:rsidRPr="008A3AF1" w:rsidRDefault="00C55BFC" w:rsidP="0067168A">
      <w:pPr>
        <w:jc w:val="both"/>
        <w:rPr>
          <w:rFonts w:ascii="Arial" w:hAnsi="Arial" w:cs="Arial"/>
        </w:rPr>
      </w:pPr>
    </w:p>
    <w:p w14:paraId="648D8460" w14:textId="0F544F4A" w:rsidR="0067168A" w:rsidRPr="008A3AF1" w:rsidRDefault="007E0959" w:rsidP="0067168A">
      <w:pPr>
        <w:jc w:val="both"/>
        <w:rPr>
          <w:rFonts w:ascii="Arial" w:hAnsi="Arial" w:cs="Arial"/>
        </w:rPr>
      </w:pPr>
      <w:r w:rsidRPr="008A3AF1">
        <w:rPr>
          <w:rFonts w:ascii="Arial" w:hAnsi="Arial" w:cs="Arial"/>
        </w:rPr>
        <w:t xml:space="preserve">Bogotá, </w:t>
      </w:r>
      <w:r w:rsidR="00E50E76">
        <w:rPr>
          <w:rFonts w:ascii="Arial" w:hAnsi="Arial" w:cs="Arial"/>
        </w:rPr>
        <w:t>mayo 4</w:t>
      </w:r>
      <w:r w:rsidRPr="008A3AF1">
        <w:rPr>
          <w:rFonts w:ascii="Arial" w:hAnsi="Arial" w:cs="Arial"/>
        </w:rPr>
        <w:t xml:space="preserve"> de 2026</w:t>
      </w:r>
      <w:r w:rsidR="00C54AD8" w:rsidRPr="008A3AF1">
        <w:rPr>
          <w:rFonts w:ascii="Arial" w:hAnsi="Arial" w:cs="Arial"/>
        </w:rPr>
        <w:t xml:space="preserve"> </w:t>
      </w:r>
    </w:p>
    <w:p w14:paraId="241C464C" w14:textId="7E72AF56" w:rsidR="0067168A" w:rsidRPr="008A3AF1" w:rsidRDefault="0022456E" w:rsidP="0022456E">
      <w:pPr>
        <w:tabs>
          <w:tab w:val="left" w:pos="8085"/>
        </w:tabs>
        <w:jc w:val="both"/>
        <w:rPr>
          <w:rFonts w:ascii="Arial" w:hAnsi="Arial" w:cs="Arial"/>
        </w:rPr>
      </w:pPr>
      <w:r w:rsidRPr="008A3AF1">
        <w:rPr>
          <w:rFonts w:ascii="Arial" w:hAnsi="Arial" w:cs="Arial"/>
        </w:rPr>
        <w:tab/>
      </w:r>
    </w:p>
    <w:p w14:paraId="6BC188E7" w14:textId="77777777" w:rsidR="0067168A" w:rsidRPr="008A3AF1" w:rsidRDefault="0067168A" w:rsidP="0067168A">
      <w:pPr>
        <w:jc w:val="both"/>
        <w:rPr>
          <w:rFonts w:ascii="Arial" w:hAnsi="Arial" w:cs="Arial"/>
        </w:rPr>
      </w:pPr>
    </w:p>
    <w:p w14:paraId="0B160B22" w14:textId="77777777" w:rsidR="00C55BFC" w:rsidRPr="008A3AF1" w:rsidRDefault="00C55BFC" w:rsidP="0067168A">
      <w:pPr>
        <w:jc w:val="both"/>
        <w:rPr>
          <w:rFonts w:ascii="Arial" w:hAnsi="Arial" w:cs="Arial"/>
        </w:rPr>
      </w:pPr>
    </w:p>
    <w:p w14:paraId="7AAE0811" w14:textId="32FA8C3C" w:rsidR="0067168A" w:rsidRPr="008A3AF1" w:rsidRDefault="007E0959" w:rsidP="0067168A">
      <w:pPr>
        <w:jc w:val="both"/>
        <w:rPr>
          <w:rFonts w:ascii="Arial" w:hAnsi="Arial" w:cs="Arial"/>
        </w:rPr>
      </w:pPr>
      <w:r w:rsidRPr="008A3AF1">
        <w:rPr>
          <w:rFonts w:ascii="Arial" w:hAnsi="Arial" w:cs="Arial"/>
        </w:rPr>
        <w:t>Señora</w:t>
      </w:r>
    </w:p>
    <w:p w14:paraId="017861A6" w14:textId="54BCFF31" w:rsidR="0067168A" w:rsidRPr="008A3AF1" w:rsidRDefault="00533618" w:rsidP="0067168A">
      <w:pPr>
        <w:jc w:val="both"/>
        <w:rPr>
          <w:rFonts w:ascii="Arial" w:hAnsi="Arial" w:cs="Arial"/>
        </w:rPr>
      </w:pPr>
      <w:r w:rsidRPr="00533618">
        <w:rPr>
          <w:rFonts w:ascii="Arial" w:hAnsi="Arial" w:cs="Arial"/>
          <w:b/>
        </w:rPr>
        <w:t>DIANA PAOLA AREVALO LOPEZ</w:t>
      </w:r>
    </w:p>
    <w:p w14:paraId="2B117C07" w14:textId="79035DEB" w:rsidR="0067168A" w:rsidRPr="008A3AF1" w:rsidRDefault="0045302D" w:rsidP="0067168A">
      <w:pPr>
        <w:jc w:val="both"/>
        <w:rPr>
          <w:rFonts w:ascii="Arial" w:hAnsi="Arial" w:cs="Arial"/>
        </w:rPr>
      </w:pPr>
      <w:r w:rsidRPr="008A3AF1">
        <w:rPr>
          <w:rFonts w:ascii="Arial" w:hAnsi="Arial" w:cs="Arial"/>
        </w:rPr>
        <w:t xml:space="preserve">C.C. </w:t>
      </w:r>
      <w:r w:rsidR="00533618" w:rsidRPr="00533618">
        <w:rPr>
          <w:rFonts w:ascii="Arial" w:hAnsi="Arial" w:cs="Arial"/>
        </w:rPr>
        <w:t>1</w:t>
      </w:r>
      <w:r w:rsidR="00533618">
        <w:rPr>
          <w:rFonts w:ascii="Arial" w:hAnsi="Arial" w:cs="Arial"/>
        </w:rPr>
        <w:t>.</w:t>
      </w:r>
      <w:r w:rsidR="00533618" w:rsidRPr="00533618">
        <w:rPr>
          <w:rFonts w:ascii="Arial" w:hAnsi="Arial" w:cs="Arial"/>
        </w:rPr>
        <w:t>019</w:t>
      </w:r>
      <w:r w:rsidR="00533618">
        <w:rPr>
          <w:rFonts w:ascii="Arial" w:hAnsi="Arial" w:cs="Arial"/>
        </w:rPr>
        <w:t>.</w:t>
      </w:r>
      <w:r w:rsidR="00533618" w:rsidRPr="00533618">
        <w:rPr>
          <w:rFonts w:ascii="Arial" w:hAnsi="Arial" w:cs="Arial"/>
        </w:rPr>
        <w:t>031</w:t>
      </w:r>
      <w:r w:rsidR="00533618">
        <w:rPr>
          <w:rFonts w:ascii="Arial" w:hAnsi="Arial" w:cs="Arial"/>
        </w:rPr>
        <w:t>.</w:t>
      </w:r>
      <w:r w:rsidR="00533618" w:rsidRPr="00533618">
        <w:rPr>
          <w:rFonts w:ascii="Arial" w:hAnsi="Arial" w:cs="Arial"/>
        </w:rPr>
        <w:t>522</w:t>
      </w:r>
    </w:p>
    <w:p w14:paraId="2A41FADF" w14:textId="26BA4F29" w:rsidR="0045302D" w:rsidRPr="008A3AF1" w:rsidRDefault="0045302D" w:rsidP="0067168A">
      <w:pPr>
        <w:jc w:val="both"/>
        <w:rPr>
          <w:rFonts w:ascii="Arial" w:hAnsi="Arial" w:cs="Arial"/>
        </w:rPr>
      </w:pPr>
      <w:r w:rsidRPr="008A3AF1">
        <w:rPr>
          <w:rFonts w:ascii="Arial" w:hAnsi="Arial" w:cs="Arial"/>
        </w:rPr>
        <w:t>Bogotá</w:t>
      </w:r>
    </w:p>
    <w:p w14:paraId="58CFE56B" w14:textId="77777777" w:rsidR="0067168A" w:rsidRPr="008A3AF1" w:rsidRDefault="0067168A" w:rsidP="0067168A">
      <w:pPr>
        <w:jc w:val="both"/>
        <w:rPr>
          <w:rFonts w:ascii="Arial" w:hAnsi="Arial" w:cs="Arial"/>
        </w:rPr>
      </w:pPr>
    </w:p>
    <w:p w14:paraId="3AA121A6" w14:textId="77777777" w:rsidR="0067168A" w:rsidRPr="008A3AF1" w:rsidRDefault="0067168A" w:rsidP="0067168A">
      <w:pPr>
        <w:ind w:left="2124" w:firstLine="708"/>
        <w:rPr>
          <w:rFonts w:ascii="Arial" w:hAnsi="Arial" w:cs="Arial"/>
          <w:b/>
        </w:rPr>
      </w:pPr>
    </w:p>
    <w:p w14:paraId="5294A6BC" w14:textId="52D0D859" w:rsidR="0067168A" w:rsidRPr="008A3AF1" w:rsidRDefault="0067168A" w:rsidP="00C35FF9">
      <w:pPr>
        <w:jc w:val="right"/>
        <w:rPr>
          <w:rFonts w:ascii="Arial" w:hAnsi="Arial" w:cs="Arial"/>
          <w:b/>
        </w:rPr>
      </w:pPr>
      <w:r w:rsidRPr="008A3AF1">
        <w:rPr>
          <w:rFonts w:ascii="Arial" w:hAnsi="Arial" w:cs="Arial"/>
          <w:b/>
        </w:rPr>
        <w:t>Referencia:</w:t>
      </w:r>
      <w:r w:rsidR="00C35FF9" w:rsidRPr="008A3AF1">
        <w:rPr>
          <w:rFonts w:ascii="Arial" w:hAnsi="Arial" w:cs="Arial"/>
        </w:rPr>
        <w:t xml:space="preserve"> </w:t>
      </w:r>
      <w:r w:rsidR="00C35FF9" w:rsidRPr="008A3AF1">
        <w:rPr>
          <w:rFonts w:ascii="Arial" w:hAnsi="Arial" w:cs="Arial"/>
          <w:b/>
        </w:rPr>
        <w:t xml:space="preserve">Respuesta radicado </w:t>
      </w:r>
      <w:r w:rsidR="00D10978" w:rsidRPr="00D10978">
        <w:rPr>
          <w:rFonts w:ascii="Arial" w:hAnsi="Arial" w:cs="Arial"/>
          <w:b/>
        </w:rPr>
        <w:t>261035503</w:t>
      </w:r>
    </w:p>
    <w:p w14:paraId="2BCD5470" w14:textId="77777777" w:rsidR="0067168A" w:rsidRPr="008A3AF1" w:rsidRDefault="0067168A" w:rsidP="0067168A">
      <w:pPr>
        <w:jc w:val="both"/>
        <w:rPr>
          <w:rFonts w:ascii="Arial" w:hAnsi="Arial" w:cs="Arial"/>
        </w:rPr>
      </w:pPr>
    </w:p>
    <w:p w14:paraId="7F2D13DE" w14:textId="1FB616BA" w:rsidR="0067168A" w:rsidRPr="008A3AF1" w:rsidRDefault="0045302D" w:rsidP="0067168A">
      <w:pPr>
        <w:jc w:val="both"/>
        <w:rPr>
          <w:rFonts w:ascii="Arial" w:hAnsi="Arial" w:cs="Arial"/>
        </w:rPr>
      </w:pPr>
      <w:r w:rsidRPr="008A3AF1">
        <w:rPr>
          <w:rFonts w:ascii="Arial" w:hAnsi="Arial" w:cs="Arial"/>
        </w:rPr>
        <w:t>Cordial saludo</w:t>
      </w:r>
      <w:r w:rsidR="0067168A" w:rsidRPr="008A3AF1">
        <w:rPr>
          <w:rFonts w:ascii="Arial" w:hAnsi="Arial" w:cs="Arial"/>
        </w:rPr>
        <w:t>:</w:t>
      </w:r>
    </w:p>
    <w:p w14:paraId="7F601AEA" w14:textId="77777777" w:rsidR="0067168A" w:rsidRPr="008A3AF1" w:rsidRDefault="0067168A" w:rsidP="0067168A">
      <w:pPr>
        <w:jc w:val="both"/>
        <w:rPr>
          <w:rFonts w:ascii="Arial" w:hAnsi="Arial" w:cs="Arial"/>
        </w:rPr>
      </w:pPr>
    </w:p>
    <w:p w14:paraId="24F5792C" w14:textId="77777777" w:rsidR="0067168A" w:rsidRPr="008A3AF1" w:rsidRDefault="0067168A" w:rsidP="0067168A">
      <w:pPr>
        <w:jc w:val="both"/>
        <w:rPr>
          <w:rFonts w:ascii="Arial" w:hAnsi="Arial" w:cs="Arial"/>
          <w:sz w:val="18"/>
          <w:szCs w:val="18"/>
        </w:rPr>
      </w:pPr>
    </w:p>
    <w:p w14:paraId="783651B1" w14:textId="4581B77E" w:rsidR="0067168A" w:rsidRPr="008A3AF1" w:rsidRDefault="00F94998" w:rsidP="0067168A">
      <w:pPr>
        <w:jc w:val="both"/>
        <w:rPr>
          <w:rFonts w:ascii="Arial" w:hAnsi="Arial" w:cs="Arial"/>
        </w:rPr>
      </w:pPr>
      <w:r w:rsidRPr="008A3AF1">
        <w:rPr>
          <w:rFonts w:ascii="Arial" w:hAnsi="Arial" w:cs="Arial"/>
        </w:rPr>
        <w:t xml:space="preserve">En atención a la solicitud con radicado </w:t>
      </w:r>
      <w:r w:rsidR="00EA653E" w:rsidRPr="00EA653E">
        <w:rPr>
          <w:rFonts w:ascii="Arial" w:hAnsi="Arial" w:cs="Arial"/>
        </w:rPr>
        <w:t>261035503</w:t>
      </w:r>
      <w:r w:rsidRPr="00D34D92">
        <w:rPr>
          <w:rFonts w:ascii="Arial" w:hAnsi="Arial" w:cs="Arial"/>
        </w:rPr>
        <w:t xml:space="preserve"> del </w:t>
      </w:r>
      <w:r w:rsidR="00A040BF">
        <w:rPr>
          <w:rFonts w:ascii="Arial" w:hAnsi="Arial" w:cs="Arial"/>
        </w:rPr>
        <w:t>09</w:t>
      </w:r>
      <w:r w:rsidRPr="00D34D92">
        <w:rPr>
          <w:rFonts w:ascii="Arial" w:hAnsi="Arial" w:cs="Arial"/>
        </w:rPr>
        <w:t xml:space="preserve"> de </w:t>
      </w:r>
      <w:r w:rsidR="00A040BF">
        <w:rPr>
          <w:rFonts w:ascii="Arial" w:hAnsi="Arial" w:cs="Arial"/>
        </w:rPr>
        <w:t>abril</w:t>
      </w:r>
      <w:r w:rsidRPr="00D34D92">
        <w:rPr>
          <w:rFonts w:ascii="Arial" w:hAnsi="Arial" w:cs="Arial"/>
        </w:rPr>
        <w:t xml:space="preserve"> de 2026 en</w:t>
      </w:r>
      <w:r w:rsidRPr="008A3AF1">
        <w:rPr>
          <w:rFonts w:ascii="Arial" w:hAnsi="Arial" w:cs="Arial"/>
        </w:rPr>
        <w:t xml:space="preserve"> la que manifiesta:</w:t>
      </w:r>
    </w:p>
    <w:p w14:paraId="750287F6" w14:textId="77777777" w:rsidR="00F94998" w:rsidRPr="008A3AF1" w:rsidRDefault="00F94998" w:rsidP="0067168A">
      <w:pPr>
        <w:jc w:val="both"/>
        <w:rPr>
          <w:rFonts w:ascii="Arial" w:hAnsi="Arial" w:cs="Arial"/>
        </w:rPr>
      </w:pPr>
    </w:p>
    <w:p w14:paraId="78B1507D" w14:textId="77777777" w:rsidR="00184C5F" w:rsidRPr="00184C5F" w:rsidRDefault="00F94998" w:rsidP="00184C5F">
      <w:pPr>
        <w:ind w:left="708"/>
        <w:jc w:val="both"/>
        <w:rPr>
          <w:rFonts w:ascii="Arial" w:hAnsi="Arial" w:cs="Arial"/>
          <w:i/>
          <w:iCs/>
          <w:sz w:val="20"/>
          <w:szCs w:val="20"/>
        </w:rPr>
      </w:pPr>
      <w:r w:rsidRPr="008A3AF1">
        <w:rPr>
          <w:rFonts w:ascii="Arial" w:hAnsi="Arial" w:cs="Arial"/>
          <w:i/>
          <w:iCs/>
          <w:sz w:val="20"/>
          <w:szCs w:val="20"/>
        </w:rPr>
        <w:t>“…</w:t>
      </w:r>
      <w:r w:rsidR="00184C5F" w:rsidRPr="00184C5F">
        <w:rPr>
          <w:rFonts w:ascii="Arial" w:hAnsi="Arial" w:cs="Arial"/>
          <w:i/>
          <w:iCs/>
          <w:sz w:val="20"/>
          <w:szCs w:val="20"/>
        </w:rPr>
        <w:t>1. Solicito se me informe el estado administrativo actual de las vacantes</w:t>
      </w:r>
    </w:p>
    <w:p w14:paraId="4569D042"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correspondientes al empleo No. 215713, específicamente respecto a los elegibles que</w:t>
      </w:r>
    </w:p>
    <w:p w14:paraId="07674FC4"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ocuparon las posiciones 1 y 2 en la lista.</w:t>
      </w:r>
    </w:p>
    <w:p w14:paraId="216BD93D"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2. Solicito se me aclare si, ante la presunta falta de posesión de los elegibles</w:t>
      </w:r>
    </w:p>
    <w:p w14:paraId="4179B421"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mencionados, se ha procedido con la respectiva declaratoria de vacancia y la</w:t>
      </w:r>
    </w:p>
    <w:p w14:paraId="75002DF4"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comunicación de la novedad a la CNSC para continuar con el uso de la lista en</w:t>
      </w:r>
    </w:p>
    <w:p w14:paraId="22EFCCEC"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estricto orden de mérito.</w:t>
      </w:r>
    </w:p>
    <w:p w14:paraId="64954722"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3. De haberse generado vacancias definitivas por no aceptación o falta de posesión,</w:t>
      </w:r>
    </w:p>
    <w:p w14:paraId="4DD6D58B" w14:textId="77777777" w:rsidR="00184C5F" w:rsidRPr="00184C5F" w:rsidRDefault="00184C5F" w:rsidP="00184C5F">
      <w:pPr>
        <w:ind w:left="708"/>
        <w:jc w:val="both"/>
        <w:rPr>
          <w:rFonts w:ascii="Arial" w:hAnsi="Arial" w:cs="Arial"/>
          <w:i/>
          <w:iCs/>
          <w:sz w:val="20"/>
          <w:szCs w:val="20"/>
        </w:rPr>
      </w:pPr>
      <w:r w:rsidRPr="00184C5F">
        <w:rPr>
          <w:rFonts w:ascii="Arial" w:hAnsi="Arial" w:cs="Arial"/>
          <w:i/>
          <w:iCs/>
          <w:sz w:val="20"/>
          <w:szCs w:val="20"/>
        </w:rPr>
        <w:t>solicito se informe el cronograma o trámite actual para proceder con el nombramiento</w:t>
      </w:r>
    </w:p>
    <w:p w14:paraId="5622B87A" w14:textId="0B3A6111" w:rsidR="00F94998" w:rsidRPr="008A3AF1" w:rsidRDefault="00184C5F" w:rsidP="00184C5F">
      <w:pPr>
        <w:ind w:left="708"/>
        <w:jc w:val="both"/>
        <w:rPr>
          <w:rFonts w:ascii="Arial" w:hAnsi="Arial" w:cs="Arial"/>
          <w:i/>
          <w:iCs/>
          <w:sz w:val="20"/>
          <w:szCs w:val="20"/>
        </w:rPr>
      </w:pPr>
      <w:r w:rsidRPr="00184C5F">
        <w:rPr>
          <w:rFonts w:ascii="Arial" w:hAnsi="Arial" w:cs="Arial"/>
          <w:i/>
          <w:iCs/>
          <w:sz w:val="20"/>
          <w:szCs w:val="20"/>
        </w:rPr>
        <w:t>de los siguientes integrantes de la lista, incluyendo mi posición (No. 6)</w:t>
      </w:r>
      <w:r w:rsidR="00F94998" w:rsidRPr="008A3AF1">
        <w:rPr>
          <w:rFonts w:ascii="Arial" w:hAnsi="Arial" w:cs="Arial"/>
          <w:i/>
          <w:iCs/>
          <w:sz w:val="20"/>
          <w:szCs w:val="20"/>
        </w:rPr>
        <w:t>…”</w:t>
      </w:r>
    </w:p>
    <w:p w14:paraId="56E8E2CB" w14:textId="77777777" w:rsidR="0067168A" w:rsidRPr="008A3AF1" w:rsidRDefault="0067168A" w:rsidP="0067168A">
      <w:pPr>
        <w:jc w:val="both"/>
        <w:rPr>
          <w:rFonts w:ascii="Arial" w:hAnsi="Arial" w:cs="Arial"/>
        </w:rPr>
      </w:pPr>
    </w:p>
    <w:p w14:paraId="06D203E4" w14:textId="55E507CC" w:rsidR="008A3AF1" w:rsidRPr="008A3AF1" w:rsidRDefault="008A3AF1" w:rsidP="008A3AF1">
      <w:pPr>
        <w:pStyle w:val="NormalWeb"/>
        <w:jc w:val="both"/>
        <w:rPr>
          <w:rFonts w:ascii="Arial" w:hAnsi="Arial" w:cs="Arial"/>
          <w:bCs/>
          <w:bdr w:val="none" w:sz="0" w:space="0" w:color="auto" w:frame="1"/>
        </w:rPr>
      </w:pPr>
      <w:r w:rsidRPr="008A3AF1">
        <w:rPr>
          <w:rFonts w:ascii="Arial" w:hAnsi="Arial" w:cs="Arial"/>
          <w:bCs/>
          <w:bdr w:val="none" w:sz="0" w:space="0" w:color="auto" w:frame="1"/>
        </w:rPr>
        <w:t xml:space="preserve">De manera atenta remito </w:t>
      </w:r>
      <w:r w:rsidR="000E0C17">
        <w:rPr>
          <w:rFonts w:ascii="Arial" w:hAnsi="Arial" w:cs="Arial"/>
          <w:bCs/>
          <w:bdr w:val="none" w:sz="0" w:space="0" w:color="auto" w:frame="1"/>
        </w:rPr>
        <w:t>respuesta</w:t>
      </w:r>
      <w:r w:rsidRPr="008A3AF1">
        <w:rPr>
          <w:rFonts w:ascii="Arial" w:hAnsi="Arial" w:cs="Arial"/>
          <w:bCs/>
          <w:bdr w:val="none" w:sz="0" w:space="0" w:color="auto" w:frame="1"/>
        </w:rPr>
        <w:t xml:space="preserve"> de la siguiente manera:</w:t>
      </w:r>
    </w:p>
    <w:p w14:paraId="6D17BD6F" w14:textId="6D7E6884" w:rsidR="000E0C17" w:rsidRPr="000E0C17" w:rsidRDefault="000E0C17" w:rsidP="000E0C17">
      <w:pPr>
        <w:pStyle w:val="NormalWeb"/>
        <w:jc w:val="both"/>
        <w:rPr>
          <w:rFonts w:ascii="Arial" w:hAnsi="Arial" w:cs="Arial"/>
        </w:rPr>
      </w:pPr>
      <w:r w:rsidRPr="000E0C17">
        <w:rPr>
          <w:rFonts w:ascii="Arial" w:hAnsi="Arial" w:cs="Arial"/>
        </w:rPr>
        <w:t xml:space="preserve">El Ministerio de Tecnologías de la Información y las Comunicaciones expidió, el 20 de octubre de </w:t>
      </w:r>
      <w:r w:rsidR="00DD01CB">
        <w:rPr>
          <w:rFonts w:ascii="Arial" w:hAnsi="Arial" w:cs="Arial"/>
        </w:rPr>
        <w:t>2025</w:t>
      </w:r>
      <w:r w:rsidRPr="000E0C17">
        <w:rPr>
          <w:rFonts w:ascii="Arial" w:hAnsi="Arial" w:cs="Arial"/>
        </w:rPr>
        <w:t xml:space="preserve">, la Resolución No. 04352 de 2025, mediante la cual se efectuó el nombramiento en período de prueba del elegible LUIS FELIPE TRUJILLO SALAZAR, quien, conforme a lo dispuesto en Resolución No. 8537 del 23 de septiembre de 2025 / 2025RES-400.300.24-063706 del 2025, ocupó el primer lugar en la lista de elegibles para la provisión de tres (3) vacantes definitivas del empleo denominado Profesional Universitario, Código 2044, Grado 9, identificado con el código OPEC 215713. </w:t>
      </w:r>
    </w:p>
    <w:p w14:paraId="0A4BA0BE" w14:textId="77777777" w:rsidR="000E0C17" w:rsidRDefault="000E0C17" w:rsidP="000E0C17">
      <w:pPr>
        <w:pStyle w:val="NormalWeb"/>
        <w:jc w:val="both"/>
        <w:rPr>
          <w:rFonts w:ascii="Arial" w:hAnsi="Arial" w:cs="Arial"/>
        </w:rPr>
      </w:pPr>
      <w:r w:rsidRPr="000E0C17">
        <w:rPr>
          <w:rFonts w:ascii="Arial" w:hAnsi="Arial" w:cs="Arial"/>
        </w:rPr>
        <w:lastRenderedPageBreak/>
        <w:t xml:space="preserve">En consecuencia, se procedió a la publicación del citado acto administrativo y a la correspondiente notificación al señor TRUJILLO SALAZAR, en los términos previstos en el artículo 7° de la Resolución No. 04352 de 2025. No obstante, una vez revisado el acervo documental que reposa en esta cartera ministerial, se constató que el elegible ubicado en la primera posición no manifestó su aceptación ni rechazo del nombramiento, ni realizó la posesión en el empleo dentro de los términos legales establecidos. </w:t>
      </w:r>
    </w:p>
    <w:p w14:paraId="627C99E1" w14:textId="1B4F9338" w:rsidR="00A31A35" w:rsidRPr="00A31A35" w:rsidRDefault="00A31A35" w:rsidP="00DF1867">
      <w:pPr>
        <w:pStyle w:val="NormalWeb"/>
        <w:jc w:val="both"/>
        <w:rPr>
          <w:rFonts w:ascii="Arial" w:hAnsi="Arial" w:cs="Arial"/>
        </w:rPr>
      </w:pPr>
      <w:r>
        <w:rPr>
          <w:rFonts w:ascii="Arial" w:hAnsi="Arial" w:cs="Arial"/>
        </w:rPr>
        <w:t xml:space="preserve">Así mismo, </w:t>
      </w:r>
      <w:r w:rsidRPr="00A31A35">
        <w:rPr>
          <w:rFonts w:ascii="Arial" w:hAnsi="Arial" w:cs="Arial"/>
        </w:rPr>
        <w:t xml:space="preserve">El Ministerio de Tecnologías de la Información y las Comunicaciones expidió, el 20 de octubre de </w:t>
      </w:r>
      <w:r w:rsidR="00440C87">
        <w:rPr>
          <w:rFonts w:ascii="Arial" w:hAnsi="Arial" w:cs="Arial"/>
        </w:rPr>
        <w:t>2025</w:t>
      </w:r>
      <w:r w:rsidRPr="00A31A35">
        <w:rPr>
          <w:rFonts w:ascii="Arial" w:hAnsi="Arial" w:cs="Arial"/>
        </w:rPr>
        <w:t>, la Resolución No. 043</w:t>
      </w:r>
      <w:r w:rsidR="005205F9">
        <w:rPr>
          <w:rFonts w:ascii="Arial" w:hAnsi="Arial" w:cs="Arial"/>
        </w:rPr>
        <w:t>78</w:t>
      </w:r>
      <w:r w:rsidRPr="00A31A35">
        <w:rPr>
          <w:rFonts w:ascii="Arial" w:hAnsi="Arial" w:cs="Arial"/>
        </w:rPr>
        <w:t> de 2025, mediante la cual se efectuó el nombramiento en período de prueba de</w:t>
      </w:r>
      <w:r w:rsidR="00224C17">
        <w:rPr>
          <w:rFonts w:ascii="Arial" w:hAnsi="Arial" w:cs="Arial"/>
        </w:rPr>
        <w:t xml:space="preserve"> </w:t>
      </w:r>
      <w:r w:rsidRPr="00A31A35">
        <w:rPr>
          <w:rFonts w:ascii="Arial" w:hAnsi="Arial" w:cs="Arial"/>
        </w:rPr>
        <w:t>l</w:t>
      </w:r>
      <w:r w:rsidR="00224C17">
        <w:rPr>
          <w:rFonts w:ascii="Arial" w:hAnsi="Arial" w:cs="Arial"/>
        </w:rPr>
        <w:t>a</w:t>
      </w:r>
      <w:r w:rsidRPr="00A31A35">
        <w:rPr>
          <w:rFonts w:ascii="Arial" w:hAnsi="Arial" w:cs="Arial"/>
        </w:rPr>
        <w:t xml:space="preserve"> elegible </w:t>
      </w:r>
      <w:r w:rsidR="00DF1867" w:rsidRPr="00DF1867">
        <w:rPr>
          <w:rFonts w:ascii="Arial" w:hAnsi="Arial" w:cs="Arial"/>
        </w:rPr>
        <w:t>GINA LORENA RODRÍGUEZ</w:t>
      </w:r>
      <w:r w:rsidR="00DF1867">
        <w:rPr>
          <w:rFonts w:ascii="Arial" w:hAnsi="Arial" w:cs="Arial"/>
        </w:rPr>
        <w:t xml:space="preserve"> </w:t>
      </w:r>
      <w:r w:rsidR="00DF1867" w:rsidRPr="00DF1867">
        <w:rPr>
          <w:rFonts w:ascii="Arial" w:hAnsi="Arial" w:cs="Arial"/>
        </w:rPr>
        <w:t>GONZÁLEZ</w:t>
      </w:r>
      <w:r w:rsidRPr="00A31A35">
        <w:rPr>
          <w:rFonts w:ascii="Arial" w:hAnsi="Arial" w:cs="Arial"/>
        </w:rPr>
        <w:t xml:space="preserve">, quien, conforme a lo dispuesto en Resolución No. 8537 del 23 de septiembre de 2025 / 2025RES-400.300.24-063706 del 2025, ocupó el </w:t>
      </w:r>
      <w:r w:rsidR="00DF1867">
        <w:rPr>
          <w:rFonts w:ascii="Arial" w:hAnsi="Arial" w:cs="Arial"/>
        </w:rPr>
        <w:t>segundo</w:t>
      </w:r>
      <w:r w:rsidRPr="00A31A35">
        <w:rPr>
          <w:rFonts w:ascii="Arial" w:hAnsi="Arial" w:cs="Arial"/>
        </w:rPr>
        <w:t xml:space="preserve"> lugar en la lista de elegibles para la provisión de tres (3) vacantes definitivas del empleo denominado Profesional Universitario, Código 2044, Grado 9, identificado con el código OPEC 215713. </w:t>
      </w:r>
    </w:p>
    <w:p w14:paraId="5EBE1E12" w14:textId="721D8F44" w:rsidR="00A31A35" w:rsidRPr="000E0C17" w:rsidRDefault="00A31A35" w:rsidP="00A31A35">
      <w:pPr>
        <w:pStyle w:val="NormalWeb"/>
        <w:jc w:val="both"/>
        <w:rPr>
          <w:rFonts w:ascii="Arial" w:hAnsi="Arial" w:cs="Arial"/>
        </w:rPr>
      </w:pPr>
      <w:r w:rsidRPr="00A31A35">
        <w:rPr>
          <w:rFonts w:ascii="Arial" w:hAnsi="Arial" w:cs="Arial"/>
        </w:rPr>
        <w:t>En consecuencia, se procedió a la publicación del citado acto administrativo y a la correspondiente notificación a</w:t>
      </w:r>
      <w:r w:rsidR="007A3882">
        <w:rPr>
          <w:rFonts w:ascii="Arial" w:hAnsi="Arial" w:cs="Arial"/>
        </w:rPr>
        <w:t xml:space="preserve"> </w:t>
      </w:r>
      <w:r w:rsidRPr="00A31A35">
        <w:rPr>
          <w:rFonts w:ascii="Arial" w:hAnsi="Arial" w:cs="Arial"/>
        </w:rPr>
        <w:t>l</w:t>
      </w:r>
      <w:r w:rsidR="007A3882">
        <w:rPr>
          <w:rFonts w:ascii="Arial" w:hAnsi="Arial" w:cs="Arial"/>
        </w:rPr>
        <w:t>a</w:t>
      </w:r>
      <w:r w:rsidRPr="00A31A35">
        <w:rPr>
          <w:rFonts w:ascii="Arial" w:hAnsi="Arial" w:cs="Arial"/>
        </w:rPr>
        <w:t xml:space="preserve"> señor</w:t>
      </w:r>
      <w:r w:rsidR="007A3882">
        <w:rPr>
          <w:rFonts w:ascii="Arial" w:hAnsi="Arial" w:cs="Arial"/>
        </w:rPr>
        <w:t>a</w:t>
      </w:r>
      <w:r w:rsidRPr="00A31A35">
        <w:rPr>
          <w:rFonts w:ascii="Arial" w:hAnsi="Arial" w:cs="Arial"/>
        </w:rPr>
        <w:t xml:space="preserve"> </w:t>
      </w:r>
      <w:r w:rsidR="005A40EF" w:rsidRPr="00DF1867">
        <w:rPr>
          <w:rFonts w:ascii="Arial" w:hAnsi="Arial" w:cs="Arial"/>
        </w:rPr>
        <w:t>RODRÍGUEZ</w:t>
      </w:r>
      <w:r w:rsidR="005A40EF">
        <w:rPr>
          <w:rFonts w:ascii="Arial" w:hAnsi="Arial" w:cs="Arial"/>
        </w:rPr>
        <w:t xml:space="preserve"> </w:t>
      </w:r>
      <w:r w:rsidR="005A40EF" w:rsidRPr="00DF1867">
        <w:rPr>
          <w:rFonts w:ascii="Arial" w:hAnsi="Arial" w:cs="Arial"/>
        </w:rPr>
        <w:t>GONZÁLEZ</w:t>
      </w:r>
      <w:r w:rsidRPr="00A31A35">
        <w:rPr>
          <w:rFonts w:ascii="Arial" w:hAnsi="Arial" w:cs="Arial"/>
        </w:rPr>
        <w:t xml:space="preserve">, en los términos previstos en el artículo 7° de la Resolución No. 04352 de 2025. No obstante, una vez revisado el acervo documental que reposa en esta cartera ministerial, se constató que </w:t>
      </w:r>
      <w:r w:rsidR="005A40EF">
        <w:rPr>
          <w:rFonts w:ascii="Arial" w:hAnsi="Arial" w:cs="Arial"/>
        </w:rPr>
        <w:t>la</w:t>
      </w:r>
      <w:r w:rsidRPr="00A31A35">
        <w:rPr>
          <w:rFonts w:ascii="Arial" w:hAnsi="Arial" w:cs="Arial"/>
        </w:rPr>
        <w:t xml:space="preserve"> elegible ubicad</w:t>
      </w:r>
      <w:r w:rsidR="005A40EF">
        <w:rPr>
          <w:rFonts w:ascii="Arial" w:hAnsi="Arial" w:cs="Arial"/>
        </w:rPr>
        <w:t>a</w:t>
      </w:r>
      <w:r w:rsidRPr="00A31A35">
        <w:rPr>
          <w:rFonts w:ascii="Arial" w:hAnsi="Arial" w:cs="Arial"/>
        </w:rPr>
        <w:t xml:space="preserve"> en la </w:t>
      </w:r>
      <w:r w:rsidR="005A40EF">
        <w:rPr>
          <w:rFonts w:ascii="Arial" w:hAnsi="Arial" w:cs="Arial"/>
        </w:rPr>
        <w:t>segunda</w:t>
      </w:r>
      <w:r w:rsidRPr="00A31A35">
        <w:rPr>
          <w:rFonts w:ascii="Arial" w:hAnsi="Arial" w:cs="Arial"/>
        </w:rPr>
        <w:t xml:space="preserve"> posición no realizó la posesión en el empleo dentro de los términos legales establecidos.</w:t>
      </w:r>
    </w:p>
    <w:p w14:paraId="6367D647" w14:textId="56D08B90" w:rsidR="000E0C17" w:rsidRPr="000E0C17" w:rsidRDefault="000E0C17" w:rsidP="000E0C17">
      <w:pPr>
        <w:pStyle w:val="NormalWeb"/>
        <w:jc w:val="both"/>
        <w:rPr>
          <w:rFonts w:ascii="Arial" w:hAnsi="Arial" w:cs="Arial"/>
        </w:rPr>
      </w:pPr>
      <w:r w:rsidRPr="000E0C17">
        <w:rPr>
          <w:rFonts w:ascii="Arial" w:hAnsi="Arial" w:cs="Arial"/>
        </w:rPr>
        <w:t xml:space="preserve">Al respecto, el numeral primero (1°) del artículo 2.2.5.1.12 del Decreto 1083 de 2015 establece que: </w:t>
      </w:r>
    </w:p>
    <w:p w14:paraId="51B48583" w14:textId="77777777" w:rsidR="000E0C17" w:rsidRPr="000E0C17" w:rsidRDefault="000E0C17" w:rsidP="000E0C17">
      <w:pPr>
        <w:pStyle w:val="NormalWeb"/>
        <w:jc w:val="both"/>
        <w:rPr>
          <w:rFonts w:ascii="Arial" w:hAnsi="Arial" w:cs="Arial"/>
        </w:rPr>
      </w:pPr>
      <w:r w:rsidRPr="000E0C17">
        <w:rPr>
          <w:rFonts w:ascii="Arial" w:hAnsi="Arial" w:cs="Arial"/>
        </w:rPr>
        <w:t xml:space="preserve">“La autoridad nominadora deberá derogar el nombramiento, cuando: 1. La persona designada no manifiesta la aceptación del nombramiento, no acepta, o no toma posesión del empleo dentro de los plazos señalados en la Constitución, la ley o el presente Título. (...)” </w:t>
      </w:r>
    </w:p>
    <w:p w14:paraId="6E955B17" w14:textId="24552A09" w:rsidR="000E0C17" w:rsidRDefault="000E0C17" w:rsidP="000E0C17">
      <w:pPr>
        <w:pStyle w:val="NormalWeb"/>
        <w:jc w:val="both"/>
        <w:rPr>
          <w:rFonts w:ascii="Arial" w:hAnsi="Arial" w:cs="Arial"/>
        </w:rPr>
      </w:pPr>
      <w:r w:rsidRPr="000E0C17">
        <w:rPr>
          <w:rFonts w:ascii="Arial" w:hAnsi="Arial" w:cs="Arial"/>
        </w:rPr>
        <w:t xml:space="preserve">En aplicación de la norma citada, el Ministerio de Tecnologías de la Información y las Comunicaciones adelantó el trámite de derogatoria del nombramiento en período de prueba del elegible </w:t>
      </w:r>
      <w:r w:rsidR="002E07EF" w:rsidRPr="000E0C17">
        <w:rPr>
          <w:rFonts w:ascii="Arial" w:hAnsi="Arial" w:cs="Arial"/>
        </w:rPr>
        <w:t>LUIS FELIPE TRUJILLO SALAZAR</w:t>
      </w:r>
      <w:r w:rsidRPr="000E0C17">
        <w:rPr>
          <w:rFonts w:ascii="Arial" w:hAnsi="Arial" w:cs="Arial"/>
        </w:rPr>
        <w:t>, mediante la Resolución MinTIC No. 00353 del 2025 del 9 de febrero de 2026. Una vez transcurridos los diez (10) días de firmeza del acto administrativo, se procedió a reportar la novedad correspondiente en el Banco Nacional de Listas de Elegibles – aplicativo SIMO, plataforma de carácter público, con el fin de que la Comisión Nacional del Servicio Civil –CNSC– autorice la continuidad del proceso respecto de</w:t>
      </w:r>
      <w:r w:rsidR="004C5C94">
        <w:rPr>
          <w:rFonts w:ascii="Arial" w:hAnsi="Arial" w:cs="Arial"/>
        </w:rPr>
        <w:t xml:space="preserve"> </w:t>
      </w:r>
      <w:r w:rsidRPr="000E0C17">
        <w:rPr>
          <w:rFonts w:ascii="Arial" w:hAnsi="Arial" w:cs="Arial"/>
        </w:rPr>
        <w:t>l</w:t>
      </w:r>
      <w:r w:rsidR="004C5C94">
        <w:rPr>
          <w:rFonts w:ascii="Arial" w:hAnsi="Arial" w:cs="Arial"/>
        </w:rPr>
        <w:t>os</w:t>
      </w:r>
      <w:r w:rsidRPr="000E0C17">
        <w:rPr>
          <w:rFonts w:ascii="Arial" w:hAnsi="Arial" w:cs="Arial"/>
        </w:rPr>
        <w:t xml:space="preserve"> elegible</w:t>
      </w:r>
      <w:r w:rsidR="004C5C94">
        <w:rPr>
          <w:rFonts w:ascii="Arial" w:hAnsi="Arial" w:cs="Arial"/>
        </w:rPr>
        <w:t>s</w:t>
      </w:r>
      <w:r w:rsidRPr="000E0C17">
        <w:rPr>
          <w:rFonts w:ascii="Arial" w:hAnsi="Arial" w:cs="Arial"/>
        </w:rPr>
        <w:t xml:space="preserve"> ubicado</w:t>
      </w:r>
      <w:r w:rsidR="00F37C4A">
        <w:rPr>
          <w:rFonts w:ascii="Arial" w:hAnsi="Arial" w:cs="Arial"/>
        </w:rPr>
        <w:t>s</w:t>
      </w:r>
      <w:r w:rsidRPr="000E0C17">
        <w:rPr>
          <w:rFonts w:ascii="Arial" w:hAnsi="Arial" w:cs="Arial"/>
        </w:rPr>
        <w:t xml:space="preserve"> en la posición meritoria número cuatro (4)</w:t>
      </w:r>
      <w:r w:rsidR="00F37C4A">
        <w:rPr>
          <w:rFonts w:ascii="Arial" w:hAnsi="Arial" w:cs="Arial"/>
        </w:rPr>
        <w:t xml:space="preserve"> y posteriores, según </w:t>
      </w:r>
      <w:r w:rsidR="00C44F1C">
        <w:rPr>
          <w:rFonts w:ascii="Arial" w:hAnsi="Arial" w:cs="Arial"/>
        </w:rPr>
        <w:t>se indique</w:t>
      </w:r>
      <w:r w:rsidRPr="000E0C17">
        <w:rPr>
          <w:rFonts w:ascii="Arial" w:hAnsi="Arial" w:cs="Arial"/>
        </w:rPr>
        <w:t xml:space="preserve">. </w:t>
      </w:r>
    </w:p>
    <w:p w14:paraId="7E95FF42" w14:textId="7DC3E944" w:rsidR="00F03A36" w:rsidRPr="000E0C17" w:rsidRDefault="00F03A36" w:rsidP="000E0C17">
      <w:pPr>
        <w:pStyle w:val="NormalWeb"/>
        <w:jc w:val="both"/>
        <w:rPr>
          <w:rFonts w:ascii="Arial" w:hAnsi="Arial" w:cs="Arial"/>
        </w:rPr>
      </w:pPr>
      <w:r>
        <w:rPr>
          <w:rFonts w:ascii="Arial" w:hAnsi="Arial" w:cs="Arial"/>
        </w:rPr>
        <w:lastRenderedPageBreak/>
        <w:t>A su vez, e</w:t>
      </w:r>
      <w:r w:rsidRPr="000E0C17">
        <w:rPr>
          <w:rFonts w:ascii="Arial" w:hAnsi="Arial" w:cs="Arial"/>
        </w:rPr>
        <w:t>n aplicación de la norma citada, el Ministerio de Tecnologías de la Información y las Comunicaciones adelantó el trámite de derogatoria del nombramiento en período de prueba de</w:t>
      </w:r>
      <w:r>
        <w:rPr>
          <w:rFonts w:ascii="Arial" w:hAnsi="Arial" w:cs="Arial"/>
        </w:rPr>
        <w:t xml:space="preserve"> </w:t>
      </w:r>
      <w:r w:rsidRPr="000E0C17">
        <w:rPr>
          <w:rFonts w:ascii="Arial" w:hAnsi="Arial" w:cs="Arial"/>
        </w:rPr>
        <w:t>l</w:t>
      </w:r>
      <w:r>
        <w:rPr>
          <w:rFonts w:ascii="Arial" w:hAnsi="Arial" w:cs="Arial"/>
        </w:rPr>
        <w:t>a</w:t>
      </w:r>
      <w:r w:rsidRPr="000E0C17">
        <w:rPr>
          <w:rFonts w:ascii="Arial" w:hAnsi="Arial" w:cs="Arial"/>
        </w:rPr>
        <w:t xml:space="preserve"> elegible </w:t>
      </w:r>
      <w:r w:rsidRPr="00DF1867">
        <w:rPr>
          <w:rFonts w:ascii="Arial" w:hAnsi="Arial" w:cs="Arial"/>
        </w:rPr>
        <w:t>GINA LORENA RODRÍGUEZ</w:t>
      </w:r>
      <w:r>
        <w:rPr>
          <w:rFonts w:ascii="Arial" w:hAnsi="Arial" w:cs="Arial"/>
        </w:rPr>
        <w:t xml:space="preserve"> </w:t>
      </w:r>
      <w:r w:rsidRPr="00DF1867">
        <w:rPr>
          <w:rFonts w:ascii="Arial" w:hAnsi="Arial" w:cs="Arial"/>
        </w:rPr>
        <w:t>GONZÁLEZ</w:t>
      </w:r>
      <w:r w:rsidRPr="000E0C17">
        <w:rPr>
          <w:rFonts w:ascii="Arial" w:hAnsi="Arial" w:cs="Arial"/>
        </w:rPr>
        <w:t>, mediante la Resolución MinTIC No. 0</w:t>
      </w:r>
      <w:r w:rsidR="0074639B">
        <w:rPr>
          <w:rFonts w:ascii="Arial" w:hAnsi="Arial" w:cs="Arial"/>
        </w:rPr>
        <w:t>1140</w:t>
      </w:r>
      <w:r w:rsidRPr="000E0C17">
        <w:rPr>
          <w:rFonts w:ascii="Arial" w:hAnsi="Arial" w:cs="Arial"/>
        </w:rPr>
        <w:t> del 202</w:t>
      </w:r>
      <w:r w:rsidR="0074639B">
        <w:rPr>
          <w:rFonts w:ascii="Arial" w:hAnsi="Arial" w:cs="Arial"/>
        </w:rPr>
        <w:t>6</w:t>
      </w:r>
      <w:r w:rsidRPr="000E0C17">
        <w:rPr>
          <w:rFonts w:ascii="Arial" w:hAnsi="Arial" w:cs="Arial"/>
        </w:rPr>
        <w:t xml:space="preserve"> del </w:t>
      </w:r>
      <w:r w:rsidR="0074639B">
        <w:rPr>
          <w:rFonts w:ascii="Arial" w:hAnsi="Arial" w:cs="Arial"/>
        </w:rPr>
        <w:t>31</w:t>
      </w:r>
      <w:r w:rsidRPr="000E0C17">
        <w:rPr>
          <w:rFonts w:ascii="Arial" w:hAnsi="Arial" w:cs="Arial"/>
        </w:rPr>
        <w:t xml:space="preserve"> de </w:t>
      </w:r>
      <w:r w:rsidR="0074639B">
        <w:rPr>
          <w:rFonts w:ascii="Arial" w:hAnsi="Arial" w:cs="Arial"/>
        </w:rPr>
        <w:t>marzo</w:t>
      </w:r>
      <w:r w:rsidRPr="000E0C17">
        <w:rPr>
          <w:rFonts w:ascii="Arial" w:hAnsi="Arial" w:cs="Arial"/>
        </w:rPr>
        <w:t xml:space="preserve"> de 2026. Una vez transcurridos los diez (10) días de firmeza del acto administrativo, se procedió a reportar la novedad correspondiente en el Banco Nacional de Listas de Elegibles – aplicativo SIMO, plataforma de carácter público, con el fin de que la Comisión Nacional del Servicio Civil –CNSC– autorice la continuidad del proceso respecto de</w:t>
      </w:r>
      <w:r>
        <w:rPr>
          <w:rFonts w:ascii="Arial" w:hAnsi="Arial" w:cs="Arial"/>
        </w:rPr>
        <w:t xml:space="preserve"> </w:t>
      </w:r>
      <w:r w:rsidRPr="000E0C17">
        <w:rPr>
          <w:rFonts w:ascii="Arial" w:hAnsi="Arial" w:cs="Arial"/>
        </w:rPr>
        <w:t>l</w:t>
      </w:r>
      <w:r>
        <w:rPr>
          <w:rFonts w:ascii="Arial" w:hAnsi="Arial" w:cs="Arial"/>
        </w:rPr>
        <w:t>os</w:t>
      </w:r>
      <w:r w:rsidRPr="000E0C17">
        <w:rPr>
          <w:rFonts w:ascii="Arial" w:hAnsi="Arial" w:cs="Arial"/>
        </w:rPr>
        <w:t xml:space="preserve"> elegible</w:t>
      </w:r>
      <w:r>
        <w:rPr>
          <w:rFonts w:ascii="Arial" w:hAnsi="Arial" w:cs="Arial"/>
        </w:rPr>
        <w:t>s</w:t>
      </w:r>
      <w:r w:rsidRPr="000E0C17">
        <w:rPr>
          <w:rFonts w:ascii="Arial" w:hAnsi="Arial" w:cs="Arial"/>
        </w:rPr>
        <w:t xml:space="preserve"> ubicado</w:t>
      </w:r>
      <w:r>
        <w:rPr>
          <w:rFonts w:ascii="Arial" w:hAnsi="Arial" w:cs="Arial"/>
        </w:rPr>
        <w:t>s</w:t>
      </w:r>
      <w:r w:rsidRPr="000E0C17">
        <w:rPr>
          <w:rFonts w:ascii="Arial" w:hAnsi="Arial" w:cs="Arial"/>
        </w:rPr>
        <w:t xml:space="preserve"> en la posición meritoria número cuatro (4)</w:t>
      </w:r>
      <w:r>
        <w:rPr>
          <w:rFonts w:ascii="Arial" w:hAnsi="Arial" w:cs="Arial"/>
        </w:rPr>
        <w:t xml:space="preserve"> y posteriores, según se indique</w:t>
      </w:r>
      <w:r w:rsidRPr="000E0C17">
        <w:rPr>
          <w:rFonts w:ascii="Arial" w:hAnsi="Arial" w:cs="Arial"/>
        </w:rPr>
        <w:t>.</w:t>
      </w:r>
    </w:p>
    <w:p w14:paraId="145C80F1" w14:textId="236403D3" w:rsidR="008A3AF1" w:rsidRDefault="000E0C17" w:rsidP="000E0C17">
      <w:pPr>
        <w:pStyle w:val="NormalWeb"/>
        <w:jc w:val="both"/>
        <w:rPr>
          <w:rFonts w:ascii="Arial" w:hAnsi="Arial" w:cs="Arial"/>
        </w:rPr>
      </w:pPr>
      <w:r w:rsidRPr="000E0C17">
        <w:rPr>
          <w:rFonts w:ascii="Arial" w:hAnsi="Arial" w:cs="Arial"/>
        </w:rPr>
        <w:t>Emitida la autorización por parte de la CNSC, esta cartera ministerial adelantará la verificación del cumplimiento de los requisitos mínimos y, de resultar procedente, efectuará el correspondiente nombramiento en período de prueba del elegible ubicado en la posición número cuatro (4)</w:t>
      </w:r>
      <w:r w:rsidR="001B6318">
        <w:rPr>
          <w:rFonts w:ascii="Arial" w:hAnsi="Arial" w:cs="Arial"/>
        </w:rPr>
        <w:t xml:space="preserve"> y cinco (5)</w:t>
      </w:r>
      <w:r w:rsidRPr="000E0C17">
        <w:rPr>
          <w:rFonts w:ascii="Arial" w:hAnsi="Arial" w:cs="Arial"/>
        </w:rPr>
        <w:t>, conforme a lo dispuesto en los artículos 2.2.5.1.5, 2.2.5.1.6, 2.2.5.1.7 y 2.2.5.1.8 del Decreto 1083 de 2015.</w:t>
      </w:r>
    </w:p>
    <w:p w14:paraId="56767FD6" w14:textId="77777777" w:rsidR="00471695" w:rsidRDefault="00471695" w:rsidP="000E0C17">
      <w:pPr>
        <w:pStyle w:val="NormalWeb"/>
        <w:jc w:val="both"/>
        <w:rPr>
          <w:rFonts w:ascii="Arial" w:hAnsi="Arial" w:cs="Arial"/>
        </w:rPr>
      </w:pPr>
    </w:p>
    <w:p w14:paraId="1771D74C" w14:textId="77777777" w:rsidR="0067168A" w:rsidRPr="008A3AF1" w:rsidRDefault="0067168A" w:rsidP="0067168A">
      <w:pPr>
        <w:jc w:val="both"/>
        <w:rPr>
          <w:rFonts w:ascii="Arial" w:hAnsi="Arial" w:cs="Arial"/>
        </w:rPr>
      </w:pPr>
    </w:p>
    <w:p w14:paraId="055D3D67" w14:textId="380F8C5E" w:rsidR="0067168A" w:rsidRPr="008A3AF1" w:rsidRDefault="0022357E" w:rsidP="0067168A">
      <w:pPr>
        <w:jc w:val="both"/>
        <w:rPr>
          <w:rFonts w:ascii="Arial" w:hAnsi="Arial" w:cs="Arial"/>
        </w:rPr>
      </w:pPr>
      <w:r w:rsidRPr="008A3AF1">
        <w:rPr>
          <w:rFonts w:ascii="Arial" w:hAnsi="Arial" w:cs="Arial"/>
        </w:rPr>
        <w:t>Con un cordial saludo</w:t>
      </w:r>
      <w:r w:rsidR="0067168A" w:rsidRPr="008A3AF1">
        <w:rPr>
          <w:rFonts w:ascii="Arial" w:hAnsi="Arial" w:cs="Arial"/>
        </w:rPr>
        <w:t xml:space="preserve">, </w:t>
      </w:r>
    </w:p>
    <w:p w14:paraId="65095422" w14:textId="77777777" w:rsidR="0067168A" w:rsidRPr="008A3AF1" w:rsidRDefault="0067168A" w:rsidP="0067168A">
      <w:pPr>
        <w:jc w:val="both"/>
        <w:rPr>
          <w:rFonts w:ascii="Arial" w:hAnsi="Arial" w:cs="Arial"/>
        </w:rPr>
      </w:pPr>
    </w:p>
    <w:p w14:paraId="31ED93A3" w14:textId="77777777" w:rsidR="0067168A" w:rsidRPr="008A3AF1" w:rsidRDefault="0067168A" w:rsidP="0067168A">
      <w:pPr>
        <w:jc w:val="both"/>
        <w:rPr>
          <w:rFonts w:ascii="Arial" w:hAnsi="Arial" w:cs="Arial"/>
        </w:rPr>
      </w:pPr>
    </w:p>
    <w:p w14:paraId="1AB0F240" w14:textId="77777777" w:rsidR="0067168A" w:rsidRPr="008A3AF1" w:rsidRDefault="0067168A" w:rsidP="0067168A">
      <w:pPr>
        <w:jc w:val="both"/>
        <w:rPr>
          <w:rFonts w:ascii="Arial" w:hAnsi="Arial" w:cs="Arial"/>
        </w:rPr>
      </w:pPr>
    </w:p>
    <w:p w14:paraId="55E31AED" w14:textId="77777777" w:rsidR="0022357E" w:rsidRPr="008A3AF1" w:rsidRDefault="0022357E" w:rsidP="0022357E">
      <w:pPr>
        <w:jc w:val="both"/>
        <w:rPr>
          <w:rFonts w:ascii="Arial" w:hAnsi="Arial" w:cs="Arial"/>
          <w:b/>
        </w:rPr>
      </w:pPr>
      <w:r w:rsidRPr="008A3AF1">
        <w:rPr>
          <w:rFonts w:ascii="Arial" w:hAnsi="Arial" w:cs="Arial"/>
          <w:b/>
        </w:rPr>
        <w:t>EDNA ROCIO SÁNCHEZ MORALES</w:t>
      </w:r>
    </w:p>
    <w:p w14:paraId="20CC5C2B" w14:textId="048CC78C" w:rsidR="0067168A" w:rsidRPr="008A3AF1" w:rsidRDefault="0022357E" w:rsidP="0022357E">
      <w:pPr>
        <w:jc w:val="both"/>
        <w:rPr>
          <w:rFonts w:ascii="Arial" w:eastAsia="Arial Unicode MS" w:hAnsi="Arial" w:cs="Arial"/>
          <w:bCs/>
        </w:rPr>
      </w:pPr>
      <w:r w:rsidRPr="008A3AF1">
        <w:rPr>
          <w:rFonts w:ascii="Arial" w:hAnsi="Arial" w:cs="Arial"/>
          <w:bCs/>
        </w:rPr>
        <w:t>Subdirectora para la Gestión del Talento Humano (E)</w:t>
      </w:r>
    </w:p>
    <w:p w14:paraId="5AF8A374" w14:textId="77777777" w:rsidR="0067168A" w:rsidRPr="008A3AF1" w:rsidRDefault="0067168A" w:rsidP="0067168A">
      <w:pPr>
        <w:jc w:val="both"/>
        <w:rPr>
          <w:rFonts w:ascii="Arial" w:eastAsia="Arial Unicode MS" w:hAnsi="Arial" w:cs="Arial"/>
          <w:sz w:val="18"/>
          <w:szCs w:val="18"/>
        </w:rPr>
      </w:pPr>
    </w:p>
    <w:p w14:paraId="3A075AC4" w14:textId="77777777" w:rsidR="0067168A" w:rsidRPr="008A3AF1" w:rsidRDefault="0067168A" w:rsidP="0067168A">
      <w:pPr>
        <w:jc w:val="both"/>
        <w:rPr>
          <w:rFonts w:ascii="Arial" w:eastAsia="Arial Unicode MS" w:hAnsi="Arial" w:cs="Arial"/>
          <w:sz w:val="18"/>
          <w:szCs w:val="18"/>
        </w:rPr>
      </w:pPr>
    </w:p>
    <w:p w14:paraId="4731F083" w14:textId="77777777" w:rsidR="0067168A" w:rsidRPr="008A3AF1" w:rsidRDefault="0067168A" w:rsidP="0067168A">
      <w:pPr>
        <w:jc w:val="both"/>
        <w:rPr>
          <w:rFonts w:ascii="Arial" w:eastAsia="Arial Unicode MS" w:hAnsi="Arial" w:cs="Arial"/>
          <w:sz w:val="18"/>
          <w:szCs w:val="18"/>
        </w:rPr>
      </w:pPr>
    </w:p>
    <w:p w14:paraId="40025577" w14:textId="5F651DC8" w:rsidR="003045B6" w:rsidRPr="008E2916" w:rsidRDefault="003045B6" w:rsidP="003045B6">
      <w:pPr>
        <w:rPr>
          <w:rFonts w:ascii="Arial" w:hAnsi="Arial" w:cs="Arial"/>
          <w:sz w:val="16"/>
          <w:szCs w:val="16"/>
        </w:rPr>
      </w:pPr>
      <w:r w:rsidRPr="008E2916">
        <w:rPr>
          <w:rFonts w:ascii="Arial" w:hAnsi="Arial" w:cs="Arial"/>
          <w:sz w:val="16"/>
          <w:szCs w:val="16"/>
        </w:rPr>
        <w:t>Proyectó:</w:t>
      </w:r>
      <w:r w:rsidR="0022357E" w:rsidRPr="008E2916">
        <w:rPr>
          <w:rFonts w:ascii="Arial" w:hAnsi="Arial" w:cs="Arial"/>
          <w:sz w:val="16"/>
          <w:szCs w:val="16"/>
        </w:rPr>
        <w:t xml:space="preserve"> Hugo Palacios Zuleta - GIT Administración de Personal</w:t>
      </w:r>
      <w:r w:rsidRPr="008E2916">
        <w:rPr>
          <w:rFonts w:ascii="Arial" w:hAnsi="Arial" w:cs="Arial"/>
          <w:sz w:val="16"/>
          <w:szCs w:val="16"/>
        </w:rPr>
        <w:t>.</w:t>
      </w:r>
      <w:r w:rsidR="008E2916">
        <w:rPr>
          <w:rFonts w:ascii="Arial" w:hAnsi="Arial" w:cs="Arial"/>
          <w:sz w:val="16"/>
          <w:szCs w:val="16"/>
        </w:rPr>
        <w:t xml:space="preserve"> </w:t>
      </w:r>
      <w:r w:rsidR="00232E3F">
        <w:rPr>
          <w:rFonts w:ascii="Arial" w:hAnsi="Arial" w:cs="Arial"/>
          <w:noProof/>
          <w:sz w:val="16"/>
          <w:szCs w:val="16"/>
        </w:rPr>
        <w:drawing>
          <wp:inline distT="0" distB="0" distL="0" distR="0" wp14:anchorId="45346E74" wp14:editId="675D1420">
            <wp:extent cx="215571" cy="104775"/>
            <wp:effectExtent l="0" t="0" r="0" b="0"/>
            <wp:docPr id="98953907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539070" name="Imagen 989539070"/>
                    <pic:cNvPicPr/>
                  </pic:nvPicPr>
                  <pic:blipFill>
                    <a:blip r:embed="rId8"/>
                    <a:stretch>
                      <a:fillRect/>
                    </a:stretch>
                  </pic:blipFill>
                  <pic:spPr>
                    <a:xfrm>
                      <a:off x="0" y="0"/>
                      <a:ext cx="220558" cy="107199"/>
                    </a:xfrm>
                    <a:prstGeom prst="rect">
                      <a:avLst/>
                    </a:prstGeom>
                  </pic:spPr>
                </pic:pic>
              </a:graphicData>
            </a:graphic>
          </wp:inline>
        </w:drawing>
      </w:r>
    </w:p>
    <w:p w14:paraId="5D7C9A63" w14:textId="7E73067C" w:rsidR="008516BA" w:rsidRPr="008516BA" w:rsidRDefault="008516BA" w:rsidP="008516BA">
      <w:r w:rsidRPr="008326A2">
        <w:rPr>
          <w:rFonts w:ascii="Arial Narrow" w:hAnsi="Arial Narrow"/>
          <w:noProof/>
        </w:rPr>
        <w:drawing>
          <wp:anchor distT="0" distB="0" distL="114300" distR="114300" simplePos="0" relativeHeight="251659264" behindDoc="1" locked="0" layoutInCell="1" allowOverlap="1" wp14:anchorId="103BA973" wp14:editId="16E83EF3">
            <wp:simplePos x="0" y="0"/>
            <wp:positionH relativeFrom="column">
              <wp:posOffset>4724400</wp:posOffset>
            </wp:positionH>
            <wp:positionV relativeFrom="paragraph">
              <wp:posOffset>7620</wp:posOffset>
            </wp:positionV>
            <wp:extent cx="380365" cy="189865"/>
            <wp:effectExtent l="0" t="0" r="635" b="635"/>
            <wp:wrapNone/>
            <wp:docPr id="52472528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725286" name=""/>
                    <pic:cNvPicPr/>
                  </pic:nvPicPr>
                  <pic:blipFill>
                    <a:blip r:embed="rId9"/>
                    <a:stretch>
                      <a:fillRect/>
                    </a:stretch>
                  </pic:blipFill>
                  <pic:spPr>
                    <a:xfrm>
                      <a:off x="0" y="0"/>
                      <a:ext cx="380365" cy="189865"/>
                    </a:xfrm>
                    <a:prstGeom prst="rect">
                      <a:avLst/>
                    </a:prstGeom>
                  </pic:spPr>
                </pic:pic>
              </a:graphicData>
            </a:graphic>
          </wp:anchor>
        </w:drawing>
      </w:r>
      <w:r w:rsidRPr="009110A2">
        <w:rPr>
          <w:rFonts w:ascii="Arial Narrow" w:eastAsia="Arial Unicode MS" w:hAnsi="Arial Narrow"/>
          <w:sz w:val="20"/>
          <w:szCs w:val="20"/>
        </w:rPr>
        <w:t xml:space="preserve">Revisó: Jorge Mauricio Salinas Gutiérrez - Abogado Subdirección para la Gestión del Talento Humano </w:t>
      </w:r>
    </w:p>
    <w:p w14:paraId="66F60908" w14:textId="3B222A9E" w:rsidR="003045B6" w:rsidRPr="008E2916" w:rsidRDefault="003045B6" w:rsidP="003045B6">
      <w:pPr>
        <w:rPr>
          <w:rFonts w:ascii="Arial" w:hAnsi="Arial" w:cs="Arial"/>
          <w:sz w:val="16"/>
          <w:szCs w:val="16"/>
        </w:rPr>
      </w:pPr>
    </w:p>
    <w:p w14:paraId="22F65694" w14:textId="2DC37F95" w:rsidR="0005030D" w:rsidRPr="008A3AF1" w:rsidRDefault="0005030D" w:rsidP="003045B6">
      <w:pPr>
        <w:tabs>
          <w:tab w:val="left" w:pos="5760"/>
        </w:tabs>
        <w:jc w:val="both"/>
        <w:rPr>
          <w:rFonts w:ascii="Arial" w:hAnsi="Arial" w:cs="Arial"/>
        </w:rPr>
      </w:pPr>
    </w:p>
    <w:sectPr w:rsidR="0005030D" w:rsidRPr="008A3AF1" w:rsidSect="0022456E">
      <w:headerReference w:type="even" r:id="rId10"/>
      <w:headerReference w:type="default" r:id="rId11"/>
      <w:footerReference w:type="even" r:id="rId12"/>
      <w:footerReference w:type="default" r:id="rId13"/>
      <w:headerReference w:type="first" r:id="rId14"/>
      <w:footerReference w:type="first" r:id="rId15"/>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632D" w14:textId="77777777" w:rsidR="00A87863" w:rsidRDefault="00A87863">
      <w:r>
        <w:separator/>
      </w:r>
    </w:p>
  </w:endnote>
  <w:endnote w:type="continuationSeparator" w:id="0">
    <w:p w14:paraId="74D80CDE" w14:textId="77777777" w:rsidR="00A87863" w:rsidRDefault="00A8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01447" w14:textId="77777777" w:rsidR="00A87863" w:rsidRDefault="00A87863">
      <w:r>
        <w:separator/>
      </w:r>
    </w:p>
  </w:footnote>
  <w:footnote w:type="continuationSeparator" w:id="0">
    <w:p w14:paraId="48A9ABB2" w14:textId="77777777" w:rsidR="00A87863" w:rsidRDefault="00A87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F03E" w14:textId="77777777" w:rsidR="0045144A" w:rsidRDefault="004514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245A" w14:textId="77777777" w:rsidR="0045144A" w:rsidRDefault="00451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55057DC"/>
    <w:multiLevelType w:val="multilevel"/>
    <w:tmpl w:val="938CEA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1507406255">
    <w:abstractNumId w:val="2"/>
  </w:num>
  <w:num w:numId="2" w16cid:durableId="1888300620">
    <w:abstractNumId w:val="0"/>
  </w:num>
  <w:num w:numId="3" w16cid:durableId="1525367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5A70"/>
    <w:rsid w:val="00016629"/>
    <w:rsid w:val="0002208B"/>
    <w:rsid w:val="00030CA8"/>
    <w:rsid w:val="0005030D"/>
    <w:rsid w:val="00060601"/>
    <w:rsid w:val="00077CE6"/>
    <w:rsid w:val="000B2E4C"/>
    <w:rsid w:val="000C6FE5"/>
    <w:rsid w:val="000D2A5A"/>
    <w:rsid w:val="000D3CD8"/>
    <w:rsid w:val="000E0C17"/>
    <w:rsid w:val="000E5281"/>
    <w:rsid w:val="000F5CA8"/>
    <w:rsid w:val="00107980"/>
    <w:rsid w:val="0014235D"/>
    <w:rsid w:val="001453E9"/>
    <w:rsid w:val="00183D54"/>
    <w:rsid w:val="00184C5F"/>
    <w:rsid w:val="00195548"/>
    <w:rsid w:val="00195A48"/>
    <w:rsid w:val="001B489A"/>
    <w:rsid w:val="001B6318"/>
    <w:rsid w:val="001E08C7"/>
    <w:rsid w:val="001F2251"/>
    <w:rsid w:val="001F659B"/>
    <w:rsid w:val="00203623"/>
    <w:rsid w:val="0022357E"/>
    <w:rsid w:val="0022456E"/>
    <w:rsid w:val="00224C17"/>
    <w:rsid w:val="00232E3F"/>
    <w:rsid w:val="0024034F"/>
    <w:rsid w:val="002551AE"/>
    <w:rsid w:val="0027710B"/>
    <w:rsid w:val="00283622"/>
    <w:rsid w:val="00296140"/>
    <w:rsid w:val="002B04E6"/>
    <w:rsid w:val="002B16A1"/>
    <w:rsid w:val="002B7FB6"/>
    <w:rsid w:val="002E07EF"/>
    <w:rsid w:val="002E288D"/>
    <w:rsid w:val="002E42AB"/>
    <w:rsid w:val="003022D4"/>
    <w:rsid w:val="003045B6"/>
    <w:rsid w:val="00305A48"/>
    <w:rsid w:val="003070B8"/>
    <w:rsid w:val="00327C1B"/>
    <w:rsid w:val="00331D2A"/>
    <w:rsid w:val="0033596E"/>
    <w:rsid w:val="00357995"/>
    <w:rsid w:val="00366EC3"/>
    <w:rsid w:val="003C656E"/>
    <w:rsid w:val="003D1145"/>
    <w:rsid w:val="003D5DA9"/>
    <w:rsid w:val="003E684A"/>
    <w:rsid w:val="003F077C"/>
    <w:rsid w:val="00440C87"/>
    <w:rsid w:val="0045144A"/>
    <w:rsid w:val="0045302D"/>
    <w:rsid w:val="00454C3A"/>
    <w:rsid w:val="0045603E"/>
    <w:rsid w:val="00471695"/>
    <w:rsid w:val="004C0C18"/>
    <w:rsid w:val="004C5C94"/>
    <w:rsid w:val="004D6938"/>
    <w:rsid w:val="004F697C"/>
    <w:rsid w:val="005205F9"/>
    <w:rsid w:val="00527EFE"/>
    <w:rsid w:val="00533618"/>
    <w:rsid w:val="00542BFD"/>
    <w:rsid w:val="00554F5A"/>
    <w:rsid w:val="00576B45"/>
    <w:rsid w:val="0057782B"/>
    <w:rsid w:val="005A40EF"/>
    <w:rsid w:val="005E38D4"/>
    <w:rsid w:val="005E5B9D"/>
    <w:rsid w:val="005E6332"/>
    <w:rsid w:val="005E64AE"/>
    <w:rsid w:val="0062276D"/>
    <w:rsid w:val="00634061"/>
    <w:rsid w:val="00645562"/>
    <w:rsid w:val="00656EDF"/>
    <w:rsid w:val="00663775"/>
    <w:rsid w:val="0067168A"/>
    <w:rsid w:val="006809C2"/>
    <w:rsid w:val="006A6027"/>
    <w:rsid w:val="006A69FA"/>
    <w:rsid w:val="006D189E"/>
    <w:rsid w:val="006F478F"/>
    <w:rsid w:val="007046ED"/>
    <w:rsid w:val="0070712D"/>
    <w:rsid w:val="00715FBD"/>
    <w:rsid w:val="007331C2"/>
    <w:rsid w:val="00733EBC"/>
    <w:rsid w:val="007373DD"/>
    <w:rsid w:val="00743C20"/>
    <w:rsid w:val="0074639B"/>
    <w:rsid w:val="00747854"/>
    <w:rsid w:val="00756373"/>
    <w:rsid w:val="00785EF0"/>
    <w:rsid w:val="007A3882"/>
    <w:rsid w:val="007D4FA7"/>
    <w:rsid w:val="007D6667"/>
    <w:rsid w:val="007E0959"/>
    <w:rsid w:val="007E28E5"/>
    <w:rsid w:val="007E7F5B"/>
    <w:rsid w:val="008176F7"/>
    <w:rsid w:val="00824BCD"/>
    <w:rsid w:val="00831C96"/>
    <w:rsid w:val="008440EA"/>
    <w:rsid w:val="00851361"/>
    <w:rsid w:val="008516BA"/>
    <w:rsid w:val="008543D6"/>
    <w:rsid w:val="00893025"/>
    <w:rsid w:val="008A3AF1"/>
    <w:rsid w:val="008C216B"/>
    <w:rsid w:val="008E2916"/>
    <w:rsid w:val="008E35FA"/>
    <w:rsid w:val="008F425F"/>
    <w:rsid w:val="00901593"/>
    <w:rsid w:val="009338AA"/>
    <w:rsid w:val="009556FE"/>
    <w:rsid w:val="00967D55"/>
    <w:rsid w:val="0098392A"/>
    <w:rsid w:val="009D7996"/>
    <w:rsid w:val="009E33F1"/>
    <w:rsid w:val="00A03E34"/>
    <w:rsid w:val="00A040BF"/>
    <w:rsid w:val="00A06267"/>
    <w:rsid w:val="00A25C69"/>
    <w:rsid w:val="00A31A35"/>
    <w:rsid w:val="00A51792"/>
    <w:rsid w:val="00A6379B"/>
    <w:rsid w:val="00A643B1"/>
    <w:rsid w:val="00A648F1"/>
    <w:rsid w:val="00A76047"/>
    <w:rsid w:val="00A83B9A"/>
    <w:rsid w:val="00A87863"/>
    <w:rsid w:val="00AC3B38"/>
    <w:rsid w:val="00B062D7"/>
    <w:rsid w:val="00B3732A"/>
    <w:rsid w:val="00B57374"/>
    <w:rsid w:val="00B67688"/>
    <w:rsid w:val="00B9482F"/>
    <w:rsid w:val="00B9742D"/>
    <w:rsid w:val="00BA0D6E"/>
    <w:rsid w:val="00BA66D5"/>
    <w:rsid w:val="00BF5C62"/>
    <w:rsid w:val="00C24315"/>
    <w:rsid w:val="00C31A7E"/>
    <w:rsid w:val="00C35FF9"/>
    <w:rsid w:val="00C44B0B"/>
    <w:rsid w:val="00C44F1C"/>
    <w:rsid w:val="00C54AD8"/>
    <w:rsid w:val="00C55BFC"/>
    <w:rsid w:val="00C96E79"/>
    <w:rsid w:val="00CB1E43"/>
    <w:rsid w:val="00CB43EE"/>
    <w:rsid w:val="00CB7EE3"/>
    <w:rsid w:val="00CE7449"/>
    <w:rsid w:val="00CF6EF5"/>
    <w:rsid w:val="00D04BF1"/>
    <w:rsid w:val="00D10978"/>
    <w:rsid w:val="00D10F4D"/>
    <w:rsid w:val="00D34D92"/>
    <w:rsid w:val="00D579AB"/>
    <w:rsid w:val="00D60861"/>
    <w:rsid w:val="00D61248"/>
    <w:rsid w:val="00D9368C"/>
    <w:rsid w:val="00DA00C2"/>
    <w:rsid w:val="00DD01CB"/>
    <w:rsid w:val="00DD0C3F"/>
    <w:rsid w:val="00DF1867"/>
    <w:rsid w:val="00E02A46"/>
    <w:rsid w:val="00E0457A"/>
    <w:rsid w:val="00E06FD2"/>
    <w:rsid w:val="00E35A5E"/>
    <w:rsid w:val="00E50E76"/>
    <w:rsid w:val="00E5303D"/>
    <w:rsid w:val="00EA2AD5"/>
    <w:rsid w:val="00EA653E"/>
    <w:rsid w:val="00EC0F6D"/>
    <w:rsid w:val="00EC6A24"/>
    <w:rsid w:val="00EE2726"/>
    <w:rsid w:val="00F03133"/>
    <w:rsid w:val="00F03A36"/>
    <w:rsid w:val="00F217D3"/>
    <w:rsid w:val="00F3343B"/>
    <w:rsid w:val="00F3553B"/>
    <w:rsid w:val="00F37C4A"/>
    <w:rsid w:val="00F423D1"/>
    <w:rsid w:val="00F53B9F"/>
    <w:rsid w:val="00F66D83"/>
    <w:rsid w:val="00F86B2A"/>
    <w:rsid w:val="00F94998"/>
    <w:rsid w:val="00FC4F1B"/>
    <w:rsid w:val="00FD705A"/>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styleId="Mencinsinresolver">
    <w:name w:val="Unresolved Mention"/>
    <w:basedOn w:val="Fuentedeprrafopredeter"/>
    <w:rsid w:val="00747854"/>
    <w:rPr>
      <w:color w:val="605E5C"/>
      <w:shd w:val="clear" w:color="auto" w:fill="E1DFDD"/>
    </w:rPr>
  </w:style>
  <w:style w:type="paragraph" w:styleId="NormalWeb">
    <w:name w:val="Normal (Web)"/>
    <w:basedOn w:val="Normal"/>
    <w:uiPriority w:val="99"/>
    <w:unhideWhenUsed/>
    <w:rsid w:val="008A3AF1"/>
    <w:pPr>
      <w:spacing w:before="100" w:beforeAutospacing="1" w:after="100" w:afterAutospacing="1"/>
    </w:pPr>
    <w:rPr>
      <w:lang w:val="es-419" w:eastAsia="es-419"/>
    </w:rPr>
  </w:style>
  <w:style w:type="character" w:styleId="Fuerte">
    <w:name w:val="Strong"/>
    <w:basedOn w:val="Fuentedeprrafopredeter"/>
    <w:uiPriority w:val="22"/>
    <w:qFormat/>
    <w:rsid w:val="008A3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992E-9F7E-4DFA-AFA3-6A5AC8F0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880</Words>
  <Characters>4843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5712</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Marcela Sierra</cp:lastModifiedBy>
  <cp:revision>58</cp:revision>
  <cp:lastPrinted>2018-11-23T12:55:00Z</cp:lastPrinted>
  <dcterms:created xsi:type="dcterms:W3CDTF">2026-02-05T15:52:00Z</dcterms:created>
  <dcterms:modified xsi:type="dcterms:W3CDTF">2026-05-04T19:16:00Z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